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E3A8A"/>
          <w:sz w:val="16"/>
          <w:szCs w:val="16"/>
        </w:rPr>
        <w:t xml:space="preserve">P E O P L E N S E</w:t>
      </w:r>
    </w:p>
    <w:p>
      <w:pPr>
        <w:spacing w:after="80"/>
      </w:pPr>
      <w:r>
        <w:rPr>
          <w:b/>
          <w:bCs/>
          <w:color w:val="1E3A8A"/>
          <w:sz w:val="40"/>
          <w:szCs w:val="40"/>
        </w:rPr>
        <w:t xml:space="preserve">How to Design a Bonus Framework</w:t>
      </w:r>
    </w:p>
    <w:p>
      <w:pPr>
        <w:spacing w:after="60"/>
      </w:pPr>
      <w:r>
        <w:rPr>
          <w:i/>
          <w:iCs/>
          <w:color w:val="6B7280"/>
          <w:sz w:val="18"/>
          <w:szCs w:val="18"/>
        </w:rPr>
        <w:t xml:space="preserve">The reasoning behind the variable-pay template — what to argue with the comp committee, when each pattern works, and when it doesn't. Pairs with the Variable-Pay &amp; Recognition Framework (Excel).</w:t>
      </w:r>
    </w:p>
    <w:p>
      <w:pPr>
        <w:spacing w:after="220"/>
      </w:pPr>
      <w:r>
        <w:rPr>
          <w:color w:val="6B7280"/>
          <w:sz w:val="14"/>
          <w:szCs w:val="14"/>
        </w:rPr>
        <w:t xml:space="preserve">Draft for editorial review — v0, 2026-06-11 · License: CC BY 4.0 (share &amp; adapt, credit Peoplense)</w:t>
      </w:r>
    </w:p>
    <w:p>
      <w:pPr>
        <w:pStyle w:val="Heading1"/>
      </w:pPr>
      <w:r>
        <w:t xml:space="preserve">The four design questions to answer first</w:t>
      </w:r>
    </w:p>
    <w:p>
      <w:pPr>
        <w:spacing w:after="100"/>
      </w:pPr>
      <w:r>
        <w:rPr>
          <w:i/>
          <w:iCs/>
          <w:color w:val="6B7280"/>
          <w:sz w:val="18"/>
          <w:szCs w:val="18"/>
        </w:rPr>
        <w:t xml:space="preserve">Most failed bonus systems failed because one of these was answered implicitly.</w:t>
      </w:r>
    </w:p>
    <w:p>
      <w:pPr>
        <w:pStyle w:val="Heading2"/>
      </w:pPr>
      <w:r>
        <w:t xml:space="preserve">1 · What is the bonus for?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700"/>
        <w:gridCol w:w="5326"/>
      </w:tblGrid>
      <w:tr>
        <w:tc>
          <w:tcPr>
            <w:tcW w:type="dxa" w:w="3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5F5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Purpose</w:t>
            </w:r>
          </w:p>
        </w:tc>
        <w:tc>
          <w:tcPr>
            <w:tcW w:type="dxa" w:w="53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5F5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Implication</w:t>
            </w:r>
          </w:p>
        </w:tc>
      </w:tr>
      <w:tr>
        <w:tc>
          <w:tcPr>
            <w:tcW w:type="dxa" w:w="3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Reward past performance</w:t>
            </w:r>
          </w:p>
        </w:tc>
        <w:tc>
          <w:tcPr>
            <w:tcW w:type="dxa" w:w="53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High weight on individual modifier, rating-driven</w:t>
            </w:r>
          </w:p>
        </w:tc>
      </w:tr>
      <w:tr>
        <w:tc>
          <w:tcPr>
            <w:tcW w:type="dxa" w:w="3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Drive forward behavior</w:t>
            </w:r>
          </w:p>
        </w:tc>
        <w:tc>
          <w:tcPr>
            <w:tcW w:type="dxa" w:w="53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Tie to specific forward KPIs, not retrospective rating</w:t>
            </w:r>
          </w:p>
        </w:tc>
      </w:tr>
      <w:tr>
        <w:tc>
          <w:tcPr>
            <w:tcW w:type="dxa" w:w="3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Retain key talent</w:t>
            </w:r>
          </w:p>
        </w:tc>
        <w:tc>
          <w:tcPr>
            <w:tcW w:type="dxa" w:w="53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Add multi-year vesting or deferred payout</w:t>
            </w:r>
          </w:p>
        </w:tc>
      </w:tr>
      <w:tr>
        <w:tc>
          <w:tcPr>
            <w:tcW w:type="dxa" w:w="3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Share company upside</w:t>
            </w:r>
          </w:p>
        </w:tc>
        <w:tc>
          <w:tcPr>
            <w:tcW w:type="dxa" w:w="53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High weight on pool funding, lower individual differentiation</w:t>
            </w:r>
          </w:p>
        </w:tc>
      </w:tr>
    </w:tbl>
    <w:p>
      <w:pPr>
        <w:spacing w:after="100"/>
      </w:pPr>
      <w:r>
        <w:rPr>
          <w:b/>
          <w:bCs/>
          <w:sz w:val="18"/>
          <w:szCs w:val="18"/>
        </w:rPr>
        <w:t xml:space="preserve">The mistake: designing for all four. Pick the top two; the others ride as secondary effects.</w:t>
      </w:r>
    </w:p>
    <w:p>
      <w:pPr>
        <w:pStyle w:val="Heading2"/>
      </w:pPr>
      <w:r>
        <w:t xml:space="preserve">2 · Who is eligible?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700"/>
        <w:gridCol w:w="5326"/>
      </w:tblGrid>
      <w:tr>
        <w:tc>
          <w:tcPr>
            <w:tcW w:type="dxa" w:w="3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5F5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Inclusion test</w:t>
            </w:r>
          </w:p>
        </w:tc>
        <w:tc>
          <w:tcPr>
            <w:tcW w:type="dxa" w:w="53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5F5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Signal</w:t>
            </w:r>
          </w:p>
        </w:tc>
      </w:tr>
      <w:tr>
        <w:tc>
          <w:tcPr>
            <w:tcW w:type="dxa" w:w="3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All employees</w:t>
            </w:r>
          </w:p>
        </w:tc>
        <w:tc>
          <w:tcPr>
            <w:tcW w:type="dxa" w:w="53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Egalitarian; expensive at scale</w:t>
            </w:r>
          </w:p>
        </w:tc>
      </w:tr>
      <w:tr>
        <w:tc>
          <w:tcPr>
            <w:tcW w:type="dxa" w:w="3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Above grade X</w:t>
            </w:r>
          </w:p>
        </w:tc>
        <w:tc>
          <w:tcPr>
            <w:tcW w:type="dxa" w:w="53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Standard for mature companies; admin-efficient</w:t>
            </w:r>
          </w:p>
        </w:tc>
      </w:tr>
      <w:tr>
        <w:tc>
          <w:tcPr>
            <w:tcW w:type="dxa" w:w="3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Sales + leadership only</w:t>
            </w:r>
          </w:p>
        </w:tc>
        <w:tc>
          <w:tcPr>
            <w:tcW w:type="dxa" w:w="53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Performance-led; two-tier morale risk</w:t>
            </w:r>
          </w:p>
        </w:tc>
      </w:tr>
      <w:tr>
        <w:tc>
          <w:tcPr>
            <w:tcW w:type="dxa" w:w="3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Discretionary by manager</w:t>
            </w:r>
          </w:p>
        </w:tc>
        <w:tc>
          <w:tcPr>
            <w:tcW w:type="dxa" w:w="53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Worst — leaks accusations of favoritism</w:t>
            </w:r>
          </w:p>
        </w:tc>
      </w:tr>
    </w:tbl>
    <w:p>
      <w:pPr>
        <w:spacing w:after="100"/>
      </w:pPr>
      <w:r>
        <w:rPr>
          <w:sz w:val="18"/>
          <w:szCs w:val="18"/>
        </w:rPr>
        <w:t xml:space="preserve">Whatever you pick: write the rationale and share it with everyone in scope. Hidden eligibility destroys trust.</w:t>
      </w:r>
    </w:p>
    <w:p>
      <w:pPr>
        <w:pStyle w:val="Heading2"/>
      </w:pPr>
      <w:r>
        <w:t xml:space="preserve">3 · What “performance” are you measuring?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All outputs, no behaviors → workforce hits the numbers, burns bridges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All behaviors, no outputs → feels nice, doesn't move the business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Too many metrics → none get optimized</w:t>
      </w:r>
    </w:p>
    <w:p>
      <w:pPr>
        <w:spacing w:after="100"/>
      </w:pPr>
      <w:r>
        <w:rPr>
          <w:b/>
          <w:bCs/>
          <w:sz w:val="18"/>
          <w:szCs w:val="18"/>
        </w:rPr>
        <w:t xml:space="preserve">Rule of thumb: 3–5 outputs + 2–3 behaviors per scorecard.</w:t>
      </w:r>
    </w:p>
    <w:p>
      <w:pPr>
        <w:pStyle w:val="Heading2"/>
      </w:pPr>
      <w:r>
        <w:t xml:space="preserve">4 · How transparent will the formula be?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700"/>
        <w:gridCol w:w="5326"/>
      </w:tblGrid>
      <w:tr>
        <w:tc>
          <w:tcPr>
            <w:tcW w:type="dxa" w:w="3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5F5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Transparency</w:t>
            </w:r>
          </w:p>
        </w:tc>
        <w:tc>
          <w:tcPr>
            <w:tcW w:type="dxa" w:w="53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5F5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Implication</w:t>
            </w:r>
          </w:p>
        </w:tc>
      </w:tr>
      <w:tr>
        <w:tc>
          <w:tcPr>
            <w:tcW w:type="dxa" w:w="3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Fully transparent</w:t>
            </w:r>
          </w:p>
        </w:tc>
        <w:tc>
          <w:tcPr>
            <w:tcW w:type="dxa" w:w="53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Forces management discipline; gaming risk if metrics are simple</w:t>
            </w:r>
          </w:p>
        </w:tc>
      </w:tr>
      <w:tr>
        <w:tc>
          <w:tcPr>
            <w:tcW w:type="dxa" w:w="3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Partially transparent</w:t>
            </w:r>
          </w:p>
        </w:tc>
        <w:tc>
          <w:tcPr>
            <w:tcW w:type="dxa" w:w="53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The 2018-era default — decreasingly viable under 2026 transparency laws</w:t>
            </w:r>
          </w:p>
        </w:tc>
      </w:tr>
      <w:tr>
        <w:tc>
          <w:tcPr>
            <w:tcW w:type="dxa" w:w="3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Opaque</w:t>
            </w:r>
          </w:p>
        </w:tc>
        <w:tc>
          <w:tcPr>
            <w:tcW w:type="dxa" w:w="53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Corrodes trust; soon illegal in the EU + several US states</w:t>
            </w:r>
          </w:p>
        </w:tc>
      </w:tr>
    </w:tbl>
    <w:p>
      <w:pPr>
        <w:spacing w:after="100"/>
      </w:pPr>
      <w:r>
        <w:rPr>
          <w:b/>
          <w:bCs/>
          <w:sz w:val="18"/>
          <w:szCs w:val="18"/>
        </w:rPr>
        <w:t xml:space="preserve">The trend: opacity is dying. Build assuming employees will see the formula within 2 years.</w:t>
      </w:r>
    </w:p>
    <w:p>
      <w:pPr>
        <w:pStyle w:val="Heading1"/>
      </w:pPr>
      <w:r>
        <w:t xml:space="preserve">Corporate vs individual weight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1800"/>
        <w:gridCol w:w="3826"/>
      </w:tblGrid>
      <w:tr>
        <w:tc>
          <w:tcPr>
            <w:tcW w:type="dxa" w:w="3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5F5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Role type</w:t>
            </w:r>
          </w:p>
        </w:tc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5F5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Corp : Indiv</w:t>
            </w:r>
          </w:p>
        </w:tc>
        <w:tc>
          <w:tcPr>
            <w:tcW w:type="dxa" w:w="38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5F5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Why</w:t>
            </w:r>
          </w:p>
        </w:tc>
      </w:tr>
      <w:tr>
        <w:tc>
          <w:tcPr>
            <w:tcW w:type="dxa" w:w="3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Senior leadership / P&amp;L owner</w:t>
            </w:r>
          </w:p>
        </w:tc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70 : 30</w:t>
            </w:r>
          </w:p>
        </w:tc>
        <w:tc>
          <w:tcPr>
            <w:tcW w:type="dxa" w:w="38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Their job is the company's number</w:t>
            </w:r>
          </w:p>
        </w:tc>
      </w:tr>
      <w:tr>
        <w:tc>
          <w:tcPr>
            <w:tcW w:type="dxa" w:w="3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Middle management</w:t>
            </w:r>
          </w:p>
        </w:tc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50 : 50</w:t>
            </w:r>
          </w:p>
        </w:tc>
        <w:tc>
          <w:tcPr>
            <w:tcW w:type="dxa" w:w="38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Influence on both</w:t>
            </w:r>
          </w:p>
        </w:tc>
      </w:tr>
      <w:tr>
        <w:tc>
          <w:tcPr>
            <w:tcW w:type="dxa" w:w="3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IC — revenue</w:t>
            </w:r>
          </w:p>
        </w:tc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30 : 70</w:t>
            </w:r>
          </w:p>
        </w:tc>
        <w:tc>
          <w:tcPr>
            <w:tcW w:type="dxa" w:w="38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They control their book</w:t>
            </w:r>
          </w:p>
        </w:tc>
      </w:tr>
      <w:tr>
        <w:tc>
          <w:tcPr>
            <w:tcW w:type="dxa" w:w="3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IC — support</w:t>
            </w:r>
          </w:p>
        </w:tc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60 : 40</w:t>
            </w:r>
          </w:p>
        </w:tc>
        <w:tc>
          <w:tcPr>
            <w:tcW w:type="dxa" w:w="38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Don't punish what they can't control</w:t>
            </w:r>
          </w:p>
        </w:tc>
      </w:tr>
      <w:tr>
        <w:tc>
          <w:tcPr>
            <w:tcW w:type="dxa" w:w="3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Early-career / new hire</w:t>
            </w:r>
          </w:p>
        </w:tc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80 : 20 (or flat)</w:t>
            </w:r>
          </w:p>
        </w:tc>
        <w:tc>
          <w:tcPr>
            <w:tcW w:type="dxa" w:w="38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Limited individual influence; align to company</w:t>
            </w:r>
          </w:p>
        </w:tc>
      </w:tr>
    </w:tbl>
    <w:p>
      <w:pPr>
        <w:spacing w:after="100"/>
      </w:pPr>
      <w:r>
        <w:rPr>
          <w:b/>
          <w:bCs/>
          <w:sz w:val="18"/>
          <w:szCs w:val="18"/>
        </w:rPr>
        <w:t xml:space="preserve">The wrong move: the SAME ratio across the company.</w:t>
      </w:r>
    </w:p>
    <w:p>
      <w:pPr>
        <w:pStyle w:val="Heading1"/>
      </w:pPr>
      <w:r>
        <w:t xml:space="preserve">The five trade-offs to surface in committee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Cost ceiling — what does this cost if everyone hits target? If everyone exceeds?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Differentiation — spread between top performer and median; too narrow demotivates the top, too wide the middle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Floor protection — does anyone get paid in a no-plan year? If yes, why?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Saudization signal (KSA) — keep it separate from payout: no rule links Nitaqat to bonuses, and bonuses are not mandated.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Communication plan — who tells whom what, when; a great framework rolled out badly fails as a bad one rolled out well</w:t>
      </w:r>
    </w:p>
    <w:p>
      <w:pPr>
        <w:pStyle w:val="Heading1"/>
      </w:pPr>
      <w:r>
        <w:t xml:space="preserve">Committee objections — and the responses that work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900"/>
        <w:gridCol w:w="5126"/>
      </w:tblGrid>
      <w:tr>
        <w:tc>
          <w:tcPr>
            <w:tcW w:type="dxa" w:w="3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5F5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Objection</w:t>
            </w:r>
          </w:p>
        </w:tc>
        <w:tc>
          <w:tcPr>
            <w:tcW w:type="dxa" w:w="51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5F5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Response</w:t>
            </w:r>
          </w:p>
        </w:tc>
      </w:tr>
      <w:tr>
        <w:tc>
          <w:tcPr>
            <w:tcW w:type="dxa" w:w="3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“This costs too much in a good year”</w:t>
            </w:r>
          </w:p>
        </w:tc>
        <w:tc>
          <w:tcPr>
            <w:tcW w:type="dxa" w:w="51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Show worst-case + modeled distribution — two numbers is more honest than one</w:t>
            </w:r>
          </w:p>
        </w:tc>
      </w:tr>
      <w:tr>
        <w:tc>
          <w:tcPr>
            <w:tcW w:type="dxa" w:w="3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“Role X higher target than role Y is unfair”</w:t>
            </w:r>
          </w:p>
        </w:tc>
        <w:tc>
          <w:tcPr>
            <w:tcW w:type="dxa" w:w="51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Role-specific targets reflect role-specific value creation; uniform targets reward seniority, not contribution</w:t>
            </w:r>
          </w:p>
        </w:tc>
      </w:tr>
      <w:tr>
        <w:tc>
          <w:tcPr>
            <w:tcW w:type="dxa" w:w="3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“Our last design was simpler”</w:t>
            </w:r>
          </w:p>
        </w:tc>
        <w:tc>
          <w:tcPr>
            <w:tcW w:type="dxa" w:w="51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Simpler often means hidden decisions; this complexity makes the implicit explicit</w:t>
            </w:r>
          </w:p>
        </w:tc>
      </w:tr>
      <w:tr>
        <w:tc>
          <w:tcPr>
            <w:tcW w:type="dxa" w:w="3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“Calibration is too much work”</w:t>
            </w:r>
          </w:p>
        </w:tc>
        <w:tc>
          <w:tcPr>
            <w:tcW w:type="dxa" w:w="51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One afternoon per cycle; without it ratings inflate ~0.3 within 2 cycles — a measurable cost</w:t>
            </w:r>
          </w:p>
        </w:tc>
      </w:tr>
      <w:tr>
        <w:tc>
          <w:tcPr>
            <w:tcW w:type="dxa" w:w="3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“We can't show the formula — they'll game it”</w:t>
            </w:r>
          </w:p>
        </w:tc>
        <w:tc>
          <w:tcPr>
            <w:tcW w:type="dxa" w:w="51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If the formula incentivizes wrong gaming, the formula is wrong. Fix it, not the secrecy.</w:t>
            </w:r>
          </w:p>
        </w:tc>
      </w:tr>
    </w:tbl>
    <w:p>
      <w:pPr>
        <w:pStyle w:val="Heading1"/>
      </w:pPr>
      <w:r>
        <w:t xml:space="preserve">Scope &amp; evidence</w:t>
      </w:r>
    </w:p>
    <w:p>
      <w:pPr>
        <w:spacing w:after="100"/>
      </w:pPr>
      <w:r>
        <w:rPr>
          <w:i/>
          <w:iCs/>
          <w:color w:val="6B7280"/>
          <w:sz w:val="18"/>
          <w:szCs w:val="18"/>
        </w:rPr>
        <w:t xml:space="preserve">Not covered: LTI / equity / deferred comp · sales commission plans · profit-sharing distinctions · sector-specific schemes.</w:t>
      </w:r>
    </w:p>
    <w:p>
      <w:pPr>
        <w:spacing w:after="100"/>
      </w:pPr>
      <w:r>
        <w:rPr>
          <w:b/>
          <w:bCs/>
          <w:sz w:val="18"/>
          <w:szCs w:val="18"/>
        </w:rPr>
        <w:t xml:space="preserve">Evidence (Peoplense library):</w:t>
      </w:r>
    </w:p>
    <w:p>
      <w:pPr>
        <w:pStyle w:val="ListParagraph"/>
        <w:numPr>
          <w:ilvl w:val="0"/>
          <w:numId w:val="2"/>
        </w:numPr>
        <w:spacing w:after="60"/>
      </w:pPr>
      <w:hyperlink w:history="1" r:id="rIdbgdrkblxrvghispdrke1_">
        <w:r>
          <w:rPr>
            <w:rStyle w:val="Hyperlink"/>
            <w:sz w:val="18"/>
            <w:szCs w:val="18"/>
          </w:rPr>
          <w:t xml:space="preserve">Achievers (2026) — recognition cadence beats bonus-alone for retention</w:t>
        </w:r>
      </w:hyperlink>
    </w:p>
    <w:p>
      <w:pPr>
        <w:pStyle w:val="ListParagraph"/>
        <w:numPr>
          <w:ilvl w:val="0"/>
          <w:numId w:val="2"/>
        </w:numPr>
        <w:spacing w:after="60"/>
      </w:pPr>
      <w:hyperlink w:history="1" r:id="rIdfg1s8aib4notypceahvfk">
        <w:r>
          <w:rPr>
            <w:rStyle w:val="Hyperlink"/>
            <w:sz w:val="18"/>
            <w:szCs w:val="18"/>
          </w:rPr>
          <w:t xml:space="preserve">HR-Zone (2026) — pay transparency becoming mandatory</w:t>
        </w:r>
      </w:hyperlink>
    </w:p>
    <w:p>
      <w:pPr>
        <w:pStyle w:val="ListParagraph"/>
        <w:numPr>
          <w:ilvl w:val="0"/>
          <w:numId w:val="2"/>
        </w:numPr>
        <w:spacing w:after="60"/>
      </w:pPr>
      <w:hyperlink w:history="1" r:id="rId0rfxqigrbaz7j3rapjyjq">
        <w:r>
          <w:rPr>
            <w:rStyle w:val="Hyperlink"/>
            <w:sz w:val="18"/>
            <w:szCs w:val="18"/>
          </w:rPr>
          <w:t xml:space="preserve">Achievers (2026) — diversify the incentive mix</w:t>
        </w:r>
      </w:hyperlink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B7280"/>
        <w:sz w:val="14"/>
        <w:szCs w:val="14"/>
      </w:rPr>
      <w:t xml:space="preserve">Peoplense · peoplense.com/decisions · CC BY 4.0 · page </w:t>
    </w:r>
    <w:r>
      <w:rPr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E3A8A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100" w:before="220"/>
      <w:outlineLvl w:val="1"/>
    </w:pPr>
    <w:rPr>
      <w:rFonts w:ascii="Arial" w:cs="Arial" w:eastAsia="Arial" w:hAnsi="Arial"/>
      <w:b/>
      <w:bCs/>
      <w:color w:val="1E3A8A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bgdrkblxrvghispdrke1_" Type="http://schemas.openxmlformats.org/officeDocument/2006/relationships/hyperlink" Target="https://peoplense.com/articles/3403cb41-9ed0-49d9-8140-1bda8f437b17" TargetMode="External"/><Relationship Id="rIdfg1s8aib4notypceahvfk" Type="http://schemas.openxmlformats.org/officeDocument/2006/relationships/hyperlink" Target="https://peoplense.com/articles/8050b32f-f74d-4874-a998-1c3d0cbbde14" TargetMode="External"/><Relationship Id="rId0rfxqigrbaz7j3rapjyjq" Type="http://schemas.openxmlformats.org/officeDocument/2006/relationships/hyperlink" Target="https://peoplense.com/articles/6a566fc3-a924-4e5b-9f48-77154609647b" TargetMode="Externa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2026-06-11T09:39:14.230Z</dcterms:created>
  <dcterms:modified xsi:type="dcterms:W3CDTF">2026-06-11T09:39:14.230Z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