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E3A8A"/>
          <w:sz w:val="16"/>
          <w:szCs w:val="16"/>
        </w:rPr>
        <w:t xml:space="preserve">P E O P L E N S E</w:t>
      </w:r>
    </w:p>
    <w:p>
      <w:pPr>
        <w:spacing w:after="80"/>
      </w:pPr>
      <w:r>
        <w:rPr>
          <w:b/>
          <w:bCs/>
          <w:color w:val="1E3A8A"/>
          <w:sz w:val="40"/>
          <w:szCs w:val="40"/>
        </w:rPr>
        <w:t xml:space="preserve">Flexible Work Policy Template (Saudi Arabia)</w:t>
      </w:r>
    </w:p>
    <w:p>
      <w:pPr>
        <w:spacing w:after="60"/>
      </w:pPr>
      <w:r>
        <w:rPr>
          <w:i/>
          <w:iCs/>
          <w:color w:val="6B7280"/>
          <w:sz w:val="18"/>
          <w:szCs w:val="18"/>
        </w:rPr>
        <w:t xml:space="preserve">A ready-to-adapt policy covering staggered hours, hybrid, and remote work — written for the June 2026 Riyadh flexible-hours initiative and anchored to the official HRSD remote-work framework.</w:t>
      </w:r>
    </w:p>
    <w:p>
      <w:pPr>
        <w:spacing w:after="220"/>
      </w:pPr>
      <w:r>
        <w:rPr>
          <w:color w:val="6B7280"/>
          <w:sz w:val="14"/>
          <w:szCs w:val="14"/>
        </w:rPr>
        <w:t xml:space="preserve">v1.0 · 2026-06-13 · License: CC BY 4.0 (use, adapt, share — credit Peoplense) · Web version: peoplense.com/decisions/tools/saudi-flexible-work-policy-template</w:t>
      </w:r>
    </w:p>
    <w:p>
      <w:pPr>
        <w:shd w:fill="FEF3C7" w:val="clear"/>
        <w:spacing w:after="200"/>
      </w:pPr>
      <w:r>
        <w:rPr>
          <w:i/>
          <w:iCs/>
          <w:color w:val="92400E"/>
          <w:sz w:val="18"/>
          <w:szCs w:val="18"/>
        </w:rPr>
        <w:t xml:space="preserve">This is a drafting aid, not legal advice. Saudi Labor Law obligations (working hours, overtime, Ramadan hours, contract documentation) apply in full to flexible arrangements. Review the finished policy with your legal counsel before adopting it.</w:t>
      </w:r>
    </w:p>
    <w:p>
      <w:pPr>
        <w:pStyle w:val="Heading1"/>
      </w:pPr>
      <w:r>
        <w:t xml:space="preserve">Context (June 2026)</w:t>
      </w:r>
    </w:p>
    <w:p>
      <w:pPr>
        <w:spacing w:after="80"/>
      </w:pPr>
      <w:r>
        <w:t xml:space="preserve">On June 2, 2026, the Royal Commission for Riyadh City — with the Ministry of Human Resources and Social Development — launched a flexible working hours initiative across six Riyadh work zones (KAFD, Digital City, Diplomatic Quarter, Laysen Valley, Granada Business District, ROSHN Front), covering 50+ entities. The flexible window extends to four hours; Labour-Law entities adopt arrival windows of roughly 7:00–11:00 am, for administrative roles with fixed hours.</w:t>
      </w:r>
    </w:p>
    <w:p>
      <w:pPr>
        <w:spacing w:after="200"/>
      </w:pPr>
      <w:r>
        <w:rPr>
          <w:i/>
          <w:iCs/>
          <w:color w:val="6B7280"/>
          <w:sz w:val="18"/>
          <w:szCs w:val="18"/>
        </w:rPr>
        <w:t xml:space="preserve">How to use this document: replace every blank line and [bracket choice] with your own values, delete the gray “Why this clause” notes, then route to counsel.</w:t>
      </w:r>
    </w:p>
    <w:p>
      <w:pPr>
        <w:pStyle w:val="Heading1"/>
      </w:pPr>
      <w:r>
        <w:t xml:space="preserve">1. Purpose and scope</w:t>
      </w:r>
    </w:p>
    <w:p>
      <w:pPr>
        <w:spacing w:after="100"/>
      </w:pPr>
      <w:r>
        <w:t xml:space="preserve">This policy defines how [Company] offers flexible work arrangements while maintaining service quality, collaboration, and full compliance with the Saudi Labor Law.</w:t>
      </w:r>
    </w:p>
    <w:p>
      <w:pPr>
        <w:spacing w:after="100"/>
      </w:pPr>
      <w:r>
        <w:t xml:space="preserve">Applies to: administrative roles with fixed working hours in [departments / all departments].</w:t>
      </w:r>
    </w:p>
    <w:p>
      <w:pPr>
        <w:spacing w:after="100"/>
      </w:pPr>
      <w:r>
        <w:t xml:space="preserve">Does NOT apply to (roles requiring continuous on-site presence or shift coverage):</w:t>
      </w:r>
    </w:p>
    <w:p>
      <w:pPr>
        <w:pBdr>
          <w:bottom w:val="single" w:color="D1D5DB" w:sz="2" w:space="1"/>
        </w:pBdr>
        <w:spacing w:after="60"/>
      </w:pPr>
      <w:r>
        <w:t xml:space="preserve"> </w:t>
      </w:r>
    </w:p>
    <w:p>
      <w:pPr>
        <w:pBdr>
          <w:bottom w:val="single" w:color="D1D5DB" w:sz="2" w:space="1"/>
        </w:pBdr>
        <w:spacing w:after="60"/>
      </w:pPr>
      <w:r>
        <w:t xml:space="preserve"> </w:t>
      </w:r>
    </w:p>
    <w:p>
      <w:pPr>
        <w:spacing w:after="160"/>
      </w:pPr>
      <w:r>
        <w:rPr>
          <w:i/>
          <w:iCs/>
          <w:color w:val="6B7280"/>
          <w:sz w:val="16"/>
          <w:szCs w:val="16"/>
        </w:rPr>
        <w:t xml:space="preserve">Why this clause: the Riyadh initiative applies to administrative fixed-hours roles and excludes continuous-staffing sectors. Mirroring that boundary keeps your policy defensible.</w:t>
      </w:r>
    </w:p>
    <w:p>
      <w:pPr>
        <w:pStyle w:val="Heading1"/>
      </w:pPr>
      <w:r>
        <w:t xml:space="preserve">2. The arrangements we offer</w:t>
      </w:r>
    </w:p>
    <w:p>
      <w:pPr>
        <w:spacing w:after="100"/>
      </w:pPr>
      <w:r>
        <w:t xml:space="preserve">[Company] offers [one / a combination] of:</w:t>
      </w:r>
    </w:p>
    <w:p>
      <w:pPr>
        <w:pStyle w:val="ListParagraph"/>
        <w:numPr>
          <w:ilvl w:val="0"/>
          <w:numId w:val="2"/>
        </w:numPr>
        <w:spacing w:after="100"/>
      </w:pPr>
      <w:r>
        <w:t xml:space="preserve">Staggered hours — a fixed daily start time chosen inside an arrival window; total daily hours unchanged.</w:t>
      </w:r>
    </w:p>
    <w:p>
      <w:pPr>
        <w:pStyle w:val="ListParagraph"/>
        <w:numPr>
          <w:ilvl w:val="0"/>
          <w:numId w:val="2"/>
        </w:numPr>
        <w:spacing w:after="100"/>
      </w:pPr>
      <w:r>
        <w:t xml:space="preserve">Hybrid — a fixed weekly split of on-site and remote days.</w:t>
      </w:r>
    </w:p>
    <w:p>
      <w:pPr>
        <w:pStyle w:val="ListParagraph"/>
        <w:numPr>
          <w:ilvl w:val="0"/>
          <w:numId w:val="2"/>
        </w:numPr>
        <w:spacing w:after="100"/>
      </w:pPr>
      <w:r>
        <w:t xml:space="preserve">Remote — work performed fully off-premises under the HRSD remote-work framework.</w:t>
      </w:r>
    </w:p>
    <w:p>
      <w:pPr>
        <w:spacing w:after="160"/>
      </w:pPr>
      <w:r>
        <w:rPr>
          <w:i/>
          <w:iCs/>
          <w:color w:val="6B7280"/>
          <w:sz w:val="16"/>
          <w:szCs w:val="16"/>
        </w:rPr>
        <w:t xml:space="preserve">Why this clause: offer only what you can actually manage. A clean staggered-hours policy beats a vague everything-policy.</w:t>
      </w:r>
    </w:p>
    <w:p>
      <w:pPr>
        <w:pStyle w:val="Heading1"/>
      </w:pPr>
      <w:r>
        <w:t xml:space="preserve">3. Staggered hours</w:t>
      </w:r>
    </w:p>
    <w:p>
      <w:pPr>
        <w:spacing w:after="100"/>
      </w:pPr>
      <w:r>
        <w:t xml:space="preserve">Arrival window: employees may start between ________ and ________ (the Riyadh initiative uses windows such as 7:00–11:00 am for Labour-Law entities).</w:t>
      </w:r>
    </w:p>
    <w:p>
      <w:pPr>
        <w:spacing w:after="100"/>
      </w:pPr>
      <w:r>
        <w:t xml:space="preserve">Each employee selects a standard start time and keeps it for at least [one month / one quarter]; changes require [manager] approval.</w:t>
      </w:r>
    </w:p>
    <w:p>
      <w:pPr>
        <w:spacing w:after="100"/>
      </w:pPr>
      <w:r>
        <w:t xml:space="preserve">Total daily working hours remain unchanged: ________ hours per contract and the Labor Law (including reduced Ramadan hours). Departure = start + working hours + break.</w:t>
      </w:r>
    </w:p>
    <w:p>
      <w:pPr>
        <w:pStyle w:val="Heading1"/>
      </w:pPr>
      <w:r>
        <w:t xml:space="preserve">4. Core hours and availability</w:t>
      </w:r>
    </w:p>
    <w:p>
      <w:pPr>
        <w:spacing w:after="100"/>
      </w:pPr>
      <w:r>
        <w:t xml:space="preserve">Core hours — everyone working and reachable regardless of arrangement: ________ to ________ (pick the overlap that protects meetings and service; commonly 11:00 am–3:00 pm under a 7–11 window).</w:t>
      </w:r>
    </w:p>
    <w:p>
      <w:pPr>
        <w:spacing w:after="100"/>
      </w:pPr>
      <w:r>
        <w:t xml:space="preserve">Meetings are scheduled inside core hours by default. Each team publishes its members’ start times.</w:t>
      </w:r>
    </w:p>
    <w:p>
      <w:pPr>
        <w:pStyle w:val="Heading1"/>
      </w:pPr>
      <w:r>
        <w:t xml:space="preserve">5. Hybrid and remote work</w:t>
      </w:r>
    </w:p>
    <w:p>
      <w:pPr>
        <w:spacing w:after="100"/>
      </w:pPr>
      <w:r>
        <w:t xml:space="preserve">Hybrid: ________ remote days per week, fixed by agreement with the manager and recorded in writing.</w:t>
      </w:r>
    </w:p>
    <w:p>
      <w:pPr>
        <w:spacing w:after="100"/>
      </w:pPr>
      <w:r>
        <w:t xml:space="preserve">Remote arrangements follow the HRSD remote-work framework (Ministerial Decision No. 101329) and are documented in the employment contract or a written amendment.</w:t>
      </w:r>
    </w:p>
    <w:p>
      <w:pPr>
        <w:spacing w:after="100"/>
      </w:pPr>
      <w:r>
        <w:t xml:space="preserve">Remote work is performed from within Saudi Arabia unless [Company] approves otherwise in writing.</w:t>
      </w:r>
    </w:p>
    <w:p>
      <w:pPr>
        <w:pStyle w:val="Heading1"/>
      </w:pPr>
      <w:r>
        <w:t xml:space="preserve">6. Eligibility and approval</w:t>
      </w:r>
    </w:p>
    <w:p>
      <w:pPr>
        <w:spacing w:after="100"/>
      </w:pPr>
      <w:r>
        <w:t xml:space="preserve">An arrangement is approved when ALL of the following hold:</w:t>
      </w:r>
    </w:p>
    <w:p>
      <w:pPr>
        <w:spacing w:after="80"/>
      </w:pPr>
      <w:r>
        <w:t xml:space="preserve">☐  The role qualifies under Section 1.</w:t>
      </w:r>
    </w:p>
    <w:p>
      <w:pPr>
        <w:spacing w:after="80"/>
      </w:pPr>
      <w:r>
        <w:t xml:space="preserve">☐  The direct manager confirms service coverage is maintained.</w:t>
      </w:r>
    </w:p>
    <w:p>
      <w:pPr>
        <w:spacing w:after="80"/>
      </w:pPr>
      <w:r>
        <w:t xml:space="preserve">☐  The employee’s performance is in good standing (no active improvement plan).</w:t>
      </w:r>
    </w:p>
    <w:p>
      <w:pPr>
        <w:spacing w:after="80"/>
      </w:pPr>
      <w:r>
        <w:t xml:space="preserve">☐  The arrangement is recorded in writing (Section 7).</w:t>
      </w:r>
    </w:p>
    <w:p>
      <w:pPr>
        <w:spacing w:after="100"/>
      </w:pPr>
      <w:r>
        <w:t xml:space="preserve">Approval is by ________ ; appeals go to ________ .</w:t>
      </w:r>
    </w:p>
    <w:p>
      <w:pPr>
        <w:spacing w:after="160"/>
      </w:pPr>
      <w:r>
        <w:rPr>
          <w:i/>
          <w:iCs/>
          <w:color w:val="6B7280"/>
          <w:sz w:val="16"/>
          <w:szCs w:val="16"/>
        </w:rPr>
        <w:t xml:space="preserve">Why this clause: the same criteria must apply to every employee in the same role category — consistency is what makes a flexibility policy fair.</w:t>
      </w:r>
    </w:p>
    <w:p>
      <w:pPr>
        <w:pStyle w:val="Heading1"/>
      </w:pPr>
      <w:r>
        <w:t xml:space="preserve">7. Documentation</w:t>
      </w:r>
    </w:p>
    <w:p>
      <w:pPr>
        <w:pStyle w:val="ListParagraph"/>
        <w:numPr>
          <w:ilvl w:val="0"/>
          <w:numId w:val="2"/>
        </w:numPr>
        <w:spacing w:after="100"/>
      </w:pPr>
      <w:r>
        <w:t xml:space="preserve">Every arrangement (start time, hybrid split, or remote status) is recorded in writing and acknowledged by the employee.</w:t>
      </w:r>
    </w:p>
    <w:p>
      <w:pPr>
        <w:pStyle w:val="ListParagraph"/>
        <w:numPr>
          <w:ilvl w:val="0"/>
          <w:numId w:val="2"/>
        </w:numPr>
        <w:spacing w:after="100"/>
      </w:pPr>
      <w:r>
        <w:t xml:space="preserve">Contract changes required for remote arrangements go through official channels ([Company]’s contract platform / Qiwa, as applicable).</w:t>
      </w:r>
    </w:p>
    <w:p>
      <w:pPr>
        <w:pStyle w:val="ListParagraph"/>
        <w:numPr>
          <w:ilvl w:val="0"/>
          <w:numId w:val="2"/>
        </w:numPr>
        <w:spacing w:after="100"/>
      </w:pPr>
      <w:r>
        <w:t xml:space="preserve">The people team keeps the register of active arrangements; reviewed every [quarter].</w:t>
      </w:r>
    </w:p>
    <w:p>
      <w:pPr>
        <w:pStyle w:val="Heading1"/>
      </w:pPr>
      <w:r>
        <w:t xml:space="preserve">8. Performance and outcomes</w:t>
      </w:r>
    </w:p>
    <w:p>
      <w:pPr>
        <w:pStyle w:val="ListParagraph"/>
        <w:numPr>
          <w:ilvl w:val="0"/>
          <w:numId w:val="2"/>
        </w:numPr>
        <w:spacing w:after="100"/>
      </w:pPr>
      <w:r>
        <w:t xml:space="preserve">Work under any flexible arrangement is evaluated on outcomes — same goals, same standards as on-site work, never on visibility.</w:t>
      </w:r>
    </w:p>
    <w:p>
      <w:pPr>
        <w:pStyle w:val="ListParagraph"/>
        <w:numPr>
          <w:ilvl w:val="0"/>
          <w:numId w:val="2"/>
        </w:numPr>
        <w:spacing w:after="100"/>
      </w:pPr>
      <w:r>
        <w:t xml:space="preserve">Managers hold the same one-to-ones and reviews regardless of arrangement.</w:t>
      </w:r>
    </w:p>
    <w:p>
      <w:pPr>
        <w:pStyle w:val="ListParagraph"/>
        <w:numPr>
          <w:ilvl w:val="0"/>
          <w:numId w:val="2"/>
        </w:numPr>
        <w:spacing w:after="100"/>
      </w:pPr>
      <w:r>
        <w:t xml:space="preserve">If issues arise, manager and employee first try to fix the arrangement (different window, different split) before withdrawing it.</w:t>
      </w:r>
    </w:p>
    <w:p>
      <w:pPr>
        <w:pStyle w:val="Heading1"/>
      </w:pPr>
      <w:r>
        <w:t xml:space="preserve">9. Equipment, security, and confidentiality</w:t>
      </w:r>
    </w:p>
    <w:p>
      <w:pPr>
        <w:spacing w:after="100"/>
      </w:pPr>
      <w:r>
        <w:t xml:space="preserve">[Company] provides: ________________________  The employee provides: ________________________</w:t>
      </w:r>
    </w:p>
    <w:p>
      <w:pPr>
        <w:pStyle w:val="ListParagraph"/>
        <w:numPr>
          <w:ilvl w:val="0"/>
          <w:numId w:val="2"/>
        </w:numPr>
        <w:spacing w:after="100"/>
      </w:pPr>
      <w:r>
        <w:t xml:space="preserve">Company data is accessed only through approved devices and connections; confidentiality applies at home exactly as in the office. Information-security policies apply in full.</w:t>
      </w:r>
    </w:p>
    <w:p>
      <w:pPr>
        <w:pStyle w:val="Heading1"/>
      </w:pPr>
      <w:r>
        <w:t xml:space="preserve">10. Review and sunset</w:t>
      </w:r>
    </w:p>
    <w:p>
      <w:pPr>
        <w:spacing w:after="100"/>
      </w:pPr>
      <w:r>
        <w:t xml:space="preserve">This policy runs as a pilot until ________ (6 months is typical), then is reviewed against: punctuality and coverage, service metrics, employee feedback, commute impact.</w:t>
      </w:r>
    </w:p>
    <w:p>
      <w:pPr>
        <w:spacing w:after="100"/>
      </w:pPr>
      <w:r>
        <w:t xml:space="preserve">[Company] may amend or withdraw arrangements with [30] days’ written notice, subject to contractual and statutory obligations.</w:t>
      </w:r>
    </w:p>
    <w:p>
      <w:pPr>
        <w:pStyle w:val="Heading1"/>
      </w:pPr>
      <w:r>
        <w:t xml:space="preserve">Adoption checklist</w:t>
      </w:r>
    </w:p>
    <w:p>
      <w:pPr>
        <w:spacing w:after="80"/>
      </w:pPr>
      <w:r>
        <w:t xml:space="preserve">☐  Blanks filled, bracket choices made, gray notes deleted</w:t>
      </w:r>
    </w:p>
    <w:p>
      <w:pPr>
        <w:spacing w:after="80"/>
      </w:pPr>
      <w:r>
        <w:t xml:space="preserve">☐  Reviewed by legal counsel (hours, overtime, Ramadan, contract documentation)</w:t>
      </w:r>
    </w:p>
    <w:p>
      <w:pPr>
        <w:spacing w:after="80"/>
      </w:pPr>
      <w:r>
        <w:t xml:space="preserve">☐  Managers briefed — they can explain eligibility and the approval path</w:t>
      </w:r>
    </w:p>
    <w:p>
      <w:pPr>
        <w:spacing w:after="80"/>
      </w:pPr>
      <w:r>
        <w:t xml:space="preserve">☐  Register of arrangements created and owned by a named person</w:t>
      </w:r>
    </w:p>
    <w:p>
      <w:pPr>
        <w:spacing w:after="80"/>
      </w:pPr>
      <w:r>
        <w:t xml:space="preserve">☐  Announced with a start date and the pilot review date</w:t>
      </w:r>
    </w:p>
    <w:p>
      <w:pPr>
        <w:pStyle w:val="Heading1"/>
      </w:pPr>
      <w:r>
        <w:t xml:space="preserve">Sources</w:t>
      </w:r>
    </w:p>
    <w:p>
      <w:pPr>
        <w:pStyle w:val="ListParagraph"/>
        <w:numPr>
          <w:ilvl w:val="0"/>
          <w:numId w:val="2"/>
        </w:numPr>
        <w:spacing w:after="60"/>
      </w:pPr>
      <w:hyperlink w:history="1" r:id="rIdihchnv6gcz4pncajmo0wu">
        <w:r>
          <w:rPr>
            <w:rStyle w:val="Hyperlink"/>
            <w:sz w:val="18"/>
            <w:szCs w:val="18"/>
          </w:rPr>
          <w:t xml:space="preserve">SPA — RCRC launches flexible working hours initiative across six work zones (June 2026)</w:t>
        </w:r>
      </w:hyperlink>
    </w:p>
    <w:p>
      <w:pPr>
        <w:pStyle w:val="ListParagraph"/>
        <w:numPr>
          <w:ilvl w:val="0"/>
          <w:numId w:val="2"/>
        </w:numPr>
        <w:spacing w:after="60"/>
      </w:pPr>
      <w:hyperlink w:history="1" r:id="rIdb48dcradwzxumng3uelt1">
        <w:r>
          <w:rPr>
            <w:rStyle w:val="Hyperlink"/>
            <w:sz w:val="18"/>
            <w:szCs w:val="18"/>
          </w:rPr>
          <w:t xml:space="preserve">RCRC — Flexible working hours initiative across six key business hubs in Riyadh</w:t>
        </w:r>
      </w:hyperlink>
    </w:p>
    <w:p>
      <w:pPr>
        <w:pStyle w:val="ListParagraph"/>
        <w:numPr>
          <w:ilvl w:val="0"/>
          <w:numId w:val="2"/>
        </w:numPr>
        <w:spacing w:after="60"/>
      </w:pPr>
      <w:hyperlink w:history="1" r:id="rId0igx5aqemlk98pdwu0qqj">
        <w:r>
          <w:rPr>
            <w:rStyle w:val="Hyperlink"/>
            <w:sz w:val="18"/>
            <w:szCs w:val="18"/>
          </w:rPr>
          <w:t xml:space="preserve">Arab News — Riyadh deploys flexible hours initiative (June 2026)</w:t>
        </w:r>
      </w:hyperlink>
    </w:p>
    <w:p>
      <w:pPr>
        <w:pStyle w:val="ListParagraph"/>
        <w:numPr>
          <w:ilvl w:val="0"/>
          <w:numId w:val="2"/>
        </w:numPr>
        <w:spacing w:after="60"/>
      </w:pPr>
      <w:hyperlink w:history="1" r:id="rIdv0d1knse7ps-ugkjw0bm7">
        <w:r>
          <w:rPr>
            <w:rStyle w:val="Hyperlink"/>
            <w:sz w:val="18"/>
            <w:szCs w:val="18"/>
          </w:rPr>
          <w:t xml:space="preserve">HRSD — Ministerial Decision No. 101329 (remote work)</w:t>
        </w:r>
      </w:hyperlink>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B7280"/>
        <w:sz w:val="14"/>
        <w:szCs w:val="14"/>
      </w:rPr>
      <w:t xml:space="preserve">Peoplense · peoplense.com/decisions · CC BY 4.0 · not legal advice · page </w:t>
    </w:r>
    <w:r>
      <w:rPr>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E3A8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ihchnv6gcz4pncajmo0wu" Type="http://schemas.openxmlformats.org/officeDocument/2006/relationships/hyperlink" Target="https://www.spa.gov.sa/en/N2605369" TargetMode="External"/><Relationship Id="rIdb48dcradwzxumng3uelt1" Type="http://schemas.openxmlformats.org/officeDocument/2006/relationships/hyperlink" Target="https://www.rcrc.gov.sa/en/235614-3/" TargetMode="External"/><Relationship Id="rId0igx5aqemlk98pdwu0qqj" Type="http://schemas.openxmlformats.org/officeDocument/2006/relationships/hyperlink" Target="https://www.arabnews.com/node/2645894/saudi-arabia" TargetMode="External"/><Relationship Id="rIdv0d1knse7ps-ugkjw0bm7" Type="http://schemas.openxmlformats.org/officeDocument/2006/relationships/hyperlink" Target="https://www.hrsd.gov.sa/knowledge-centre/decisions-and-regulations/ministerial-decisions/833978"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2026-06-12T22:35:40.685Z</dcterms:created>
  <dcterms:modified xsi:type="dcterms:W3CDTF">2026-06-12T22:35:40.685Z</dcterms:modified>
</cp:coreProperties>
</file>

<file path=docProps/custom.xml><?xml version="1.0" encoding="utf-8"?>
<Properties xmlns="http://schemas.openxmlformats.org/officeDocument/2006/custom-properties" xmlns:vt="http://schemas.openxmlformats.org/officeDocument/2006/docPropsVTypes"/>
</file>